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hint="eastAsia"/>
        </w:rPr>
      </w:pPr>
      <w:r>
        <w:rPr>
          <w:rFonts w:hint="eastAsia"/>
        </w:rPr>
        <w:t>为保障平台服务质量与长期稳定运营，同时兼顾客户实际需求，现对旗下设备的数据服务收费标准及服务保障细则进行公示，确保收费透明、服务合理。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一、收费合理性说明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平台作为设备数据周转与服务支撑核心，需持续投入资源以保障服务质量，主要成本与服务内容包括：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1. 数据处理与维护成本：需实时接收、处理设备上传数据，并保障数据安全存储，同时安排专人定期进行系统升级、漏洞修复，确保功能稳定。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2. 24小时运维成本：配备专业运维团队，应对系统意外故障、服务器异常等突发情况，保障服务全年无间断运行，涉及高额人力成本与技术投入。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3. 服务器资源成本：为支撑海量设备数据传输与存储，需长期租赁高性能服务器，且随设备数量增长持续扩容，资源成本较高。</w:t>
      </w: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基于“合作共赢”原则，平台已自行承担设备销售后的大部分基础成本，并对服务费用进行大幅优惠。若完全免费提供服务，将因资源有限导致响应延时（最短30分钟，最长2小时），无法满足客户实时需求。因此，通过合理收费筛选服务资源，可优先保障付费客户（优质客户）获得更高效、更稳定的专属服务通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二、具体收费标准</w:t>
      </w:r>
    </w:p>
    <w:p>
      <w:pPr>
        <w:rPr>
          <w:rFonts w:hint="eastAsia"/>
        </w:rPr>
      </w:pPr>
      <w:r>
        <w:rPr>
          <w:rFonts w:hint="eastAsia"/>
        </w:rPr>
        <w:t xml:space="preserve">服务周期 适用设备 单设备原价（元） 优惠政策 单设备最终费用（元）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服务周期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适用设备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单设备原件（元）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单台设备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3年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单台设备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我们承诺：所有收费款项将专项用于提升服务质量、优化系统性能与扩充运维资源，确保付费客户享受“低延时、高稳定、快响应”的服务体验。如有疑问，可通过官方客服渠道咨询。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</dc:creator>
  <cp:lastModifiedBy>zhang</cp:lastModifiedBy>
  <dcterms:modified xsi:type="dcterms:W3CDTF">2025-09-27T03:38:40Z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